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D" w:rsidRPr="00E4117E" w:rsidRDefault="00811AE9" w:rsidP="00027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 </w:t>
      </w:r>
      <w:r w:rsidR="00027CCD" w:rsidRPr="00E4117E">
        <w:rPr>
          <w:rFonts w:ascii="Times New Roman" w:hAnsi="Times New Roman" w:cs="Times New Roman"/>
          <w:b/>
          <w:sz w:val="28"/>
          <w:szCs w:val="28"/>
        </w:rPr>
        <w:t xml:space="preserve">индивидуального отбора  </w:t>
      </w:r>
      <w:r w:rsidR="00027CCD">
        <w:rPr>
          <w:rFonts w:ascii="Times New Roman" w:hAnsi="Times New Roman" w:cs="Times New Roman"/>
          <w:b/>
          <w:sz w:val="28"/>
          <w:szCs w:val="28"/>
        </w:rPr>
        <w:t>в 10 профильный класс</w:t>
      </w:r>
      <w:r w:rsidR="00942D2C">
        <w:rPr>
          <w:rFonts w:ascii="Times New Roman" w:hAnsi="Times New Roman" w:cs="Times New Roman"/>
          <w:b/>
          <w:sz w:val="28"/>
          <w:szCs w:val="28"/>
        </w:rPr>
        <w:t>.</w:t>
      </w:r>
      <w:r w:rsidR="00027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29" w:type="dxa"/>
        <w:tblInd w:w="-612" w:type="dxa"/>
        <w:tblLayout w:type="fixed"/>
        <w:tblLook w:val="01E0"/>
      </w:tblPr>
      <w:tblGrid>
        <w:gridCol w:w="458"/>
        <w:gridCol w:w="1799"/>
        <w:gridCol w:w="1541"/>
        <w:gridCol w:w="1967"/>
        <w:gridCol w:w="1334"/>
        <w:gridCol w:w="993"/>
        <w:gridCol w:w="992"/>
        <w:gridCol w:w="992"/>
        <w:gridCol w:w="992"/>
        <w:gridCol w:w="1224"/>
        <w:gridCol w:w="1285"/>
        <w:gridCol w:w="2452"/>
      </w:tblGrid>
      <w:tr w:rsidR="00027CCD" w:rsidRPr="00355717" w:rsidTr="00DA501B">
        <w:trPr>
          <w:trHeight w:val="94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jc w:val="center"/>
              <w:rPr>
                <w:b/>
                <w:sz w:val="24"/>
                <w:szCs w:val="24"/>
              </w:rPr>
            </w:pPr>
            <w:r w:rsidRPr="003557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jc w:val="center"/>
              <w:rPr>
                <w:b/>
                <w:sz w:val="24"/>
                <w:szCs w:val="24"/>
              </w:rPr>
            </w:pPr>
            <w:r w:rsidRPr="00355717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>Планируемый профиль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 xml:space="preserve">Годовые отметки по учебным предметам соответствующего  профиля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>Итоговые отметки по соответствующим  профилю обучения за курс ООО</w:t>
            </w:r>
          </w:p>
          <w:p w:rsidR="00027CCD" w:rsidRPr="00355717" w:rsidRDefault="00027CCD" w:rsidP="00DA5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>Отметки по обязательным экзаменам на ОГЭ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 xml:space="preserve">Итоговые отметки по обязательным предметам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>Средний балл</w:t>
            </w:r>
          </w:p>
          <w:p w:rsidR="00027CCD" w:rsidRPr="00355717" w:rsidRDefault="00027CCD" w:rsidP="00DA5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 xml:space="preserve">аттестата </w:t>
            </w:r>
          </w:p>
          <w:p w:rsidR="00027CCD" w:rsidRPr="00355717" w:rsidRDefault="00027CCD" w:rsidP="00DA5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>не ниже 3,90</w:t>
            </w:r>
          </w:p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>Аттестат с отличием</w:t>
            </w:r>
          </w:p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717">
              <w:rPr>
                <w:sz w:val="24"/>
                <w:szCs w:val="24"/>
              </w:rPr>
              <w:t xml:space="preserve">Документы, подтверждающие достижения за последние 2 года в олимпиадах и иных конкурсах, (не ниже муниципального) </w:t>
            </w:r>
            <w:r w:rsidRPr="00355717">
              <w:rPr>
                <w:sz w:val="22"/>
                <w:szCs w:val="22"/>
              </w:rPr>
              <w:t>соответствующих</w:t>
            </w:r>
            <w:r w:rsidRPr="00355717">
              <w:rPr>
                <w:sz w:val="24"/>
                <w:szCs w:val="24"/>
              </w:rPr>
              <w:t xml:space="preserve"> выбранному профилю обучения.</w:t>
            </w:r>
          </w:p>
        </w:tc>
      </w:tr>
      <w:tr w:rsidR="00027CCD" w:rsidRPr="00355717" w:rsidTr="00DA501B">
        <w:trPr>
          <w:trHeight w:val="157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55717">
              <w:t>Русский</w:t>
            </w:r>
          </w:p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55717">
              <w:t xml:space="preserve"> язык </w:t>
            </w:r>
          </w:p>
          <w:p w:rsidR="00027CCD" w:rsidRPr="00355717" w:rsidRDefault="00027CCD" w:rsidP="00DA5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55717">
              <w:t>Матем</w:t>
            </w:r>
            <w:proofErr w:type="spellEnd"/>
            <w:r w:rsidRPr="00355717"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55717">
              <w:t>Русский</w:t>
            </w:r>
          </w:p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55717">
              <w:t xml:space="preserve"> язык</w:t>
            </w:r>
          </w:p>
          <w:p w:rsidR="00027CCD" w:rsidRPr="00355717" w:rsidRDefault="00027CCD" w:rsidP="00DA50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55717">
              <w:t>Матем</w:t>
            </w:r>
            <w:proofErr w:type="spellEnd"/>
            <w:r w:rsidRPr="00355717">
              <w:t>.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7CCD" w:rsidRPr="00355717" w:rsidTr="00DA50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355717" w:rsidRDefault="00027CCD" w:rsidP="00DA501B">
            <w:pPr>
              <w:rPr>
                <w:sz w:val="24"/>
                <w:szCs w:val="24"/>
              </w:rPr>
            </w:pPr>
          </w:p>
        </w:tc>
      </w:tr>
    </w:tbl>
    <w:p w:rsidR="00027CCD" w:rsidRDefault="00027CCD" w:rsidP="00027CCD">
      <w:pPr>
        <w:pStyle w:val="a5"/>
      </w:pPr>
    </w:p>
    <w:p w:rsidR="00027CCD" w:rsidRPr="00FE7ACA" w:rsidRDefault="00027CCD" w:rsidP="00027CCD">
      <w:pPr>
        <w:pStyle w:val="a5"/>
        <w:ind w:left="-567"/>
        <w:rPr>
          <w:rFonts w:ascii="Times New Roman" w:hAnsi="Times New Roman" w:cs="Times New Roman"/>
        </w:rPr>
      </w:pPr>
      <w:bookmarkStart w:id="0" w:name="sub_1008"/>
      <w:r w:rsidRPr="00FE7ACA">
        <w:rPr>
          <w:rFonts w:ascii="Times New Roman" w:hAnsi="Times New Roman" w:cs="Times New Roman"/>
          <w:b/>
        </w:rPr>
        <w:t xml:space="preserve"> </w:t>
      </w:r>
      <w:r w:rsidRPr="00FE7ACA">
        <w:rPr>
          <w:rFonts w:ascii="Times New Roman" w:hAnsi="Times New Roman" w:cs="Times New Roman"/>
        </w:rPr>
        <w:t>Индивидуальный отбор осуществляется с 1 по 30 июня текущего года.</w:t>
      </w:r>
      <w:r>
        <w:rPr>
          <w:rFonts w:ascii="Times New Roman" w:hAnsi="Times New Roman" w:cs="Times New Roman"/>
        </w:rPr>
        <w:t xml:space="preserve">  </w:t>
      </w:r>
      <w:r w:rsidRPr="00FE7ACA">
        <w:rPr>
          <w:rFonts w:ascii="Times New Roman" w:hAnsi="Times New Roman" w:cs="Times New Roman"/>
        </w:rPr>
        <w:t>Индивидуальный отбор проводится в 3 этапа:</w:t>
      </w:r>
    </w:p>
    <w:bookmarkEnd w:id="0"/>
    <w:p w:rsidR="00027CCD" w:rsidRPr="00FE7ACA" w:rsidRDefault="00027CCD" w:rsidP="00027CCD">
      <w:pPr>
        <w:pStyle w:val="a5"/>
        <w:ind w:left="-567"/>
        <w:rPr>
          <w:rFonts w:ascii="Times New Roman" w:hAnsi="Times New Roman" w:cs="Times New Roman"/>
        </w:rPr>
      </w:pPr>
      <w:r w:rsidRPr="00FE7ACA">
        <w:rPr>
          <w:rFonts w:ascii="Times New Roman" w:hAnsi="Times New Roman" w:cs="Times New Roman"/>
        </w:rPr>
        <w:t>1 этап - проведение экспертизы документов</w:t>
      </w:r>
      <w:r>
        <w:rPr>
          <w:rFonts w:ascii="Times New Roman" w:hAnsi="Times New Roman" w:cs="Times New Roman"/>
        </w:rPr>
        <w:t xml:space="preserve">    </w:t>
      </w:r>
      <w:r w:rsidRPr="00FE7ACA">
        <w:rPr>
          <w:rFonts w:ascii="Times New Roman" w:hAnsi="Times New Roman" w:cs="Times New Roman"/>
        </w:rPr>
        <w:t>2  этап - составление рейтинга достижений обучающихся;</w:t>
      </w:r>
    </w:p>
    <w:p w:rsidR="00027CCD" w:rsidRPr="00FE7ACA" w:rsidRDefault="00027CCD" w:rsidP="00027CCD">
      <w:pPr>
        <w:pStyle w:val="a5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Pr="00FE7ACA">
        <w:rPr>
          <w:rFonts w:ascii="Times New Roman" w:hAnsi="Times New Roman" w:cs="Times New Roman"/>
        </w:rPr>
        <w:t xml:space="preserve">этап - принятие </w:t>
      </w:r>
      <w:r>
        <w:rPr>
          <w:rFonts w:ascii="Times New Roman" w:hAnsi="Times New Roman" w:cs="Times New Roman"/>
        </w:rPr>
        <w:t xml:space="preserve"> </w:t>
      </w:r>
      <w:r w:rsidRPr="00FE7ACA">
        <w:rPr>
          <w:rFonts w:ascii="Times New Roman" w:hAnsi="Times New Roman" w:cs="Times New Roman"/>
        </w:rPr>
        <w:t xml:space="preserve">решения о зачислении </w:t>
      </w:r>
      <w:proofErr w:type="gramStart"/>
      <w:r w:rsidRPr="00FE7ACA">
        <w:rPr>
          <w:rFonts w:ascii="Times New Roman" w:hAnsi="Times New Roman" w:cs="Times New Roman"/>
        </w:rPr>
        <w:t>обучающихся</w:t>
      </w:r>
      <w:proofErr w:type="gramEnd"/>
      <w:r w:rsidRPr="00FE7ACA">
        <w:rPr>
          <w:rFonts w:ascii="Times New Roman" w:hAnsi="Times New Roman" w:cs="Times New Roman"/>
        </w:rPr>
        <w:t>.</w:t>
      </w:r>
    </w:p>
    <w:p w:rsidR="00027CCD" w:rsidRPr="00FE7ACA" w:rsidRDefault="00027CCD" w:rsidP="00027CCD">
      <w:pPr>
        <w:pStyle w:val="a5"/>
        <w:ind w:left="-567"/>
        <w:rPr>
          <w:rFonts w:ascii="Times New Roman" w:hAnsi="Times New Roman" w:cs="Times New Roman"/>
          <w:b/>
        </w:rPr>
      </w:pPr>
      <w:bookmarkStart w:id="1" w:name="sub_1009"/>
    </w:p>
    <w:p w:rsidR="00DA501B" w:rsidRDefault="00DA501B" w:rsidP="00DA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1B">
        <w:rPr>
          <w:rFonts w:ascii="Times New Roman" w:hAnsi="Times New Roman" w:cs="Times New Roman"/>
          <w:b/>
          <w:sz w:val="28"/>
          <w:szCs w:val="28"/>
        </w:rPr>
        <w:t xml:space="preserve">Экспертиза документов проводится </w:t>
      </w:r>
      <w:r w:rsidR="00811AE9">
        <w:rPr>
          <w:rFonts w:ascii="Times New Roman" w:hAnsi="Times New Roman" w:cs="Times New Roman"/>
          <w:b/>
          <w:sz w:val="28"/>
          <w:szCs w:val="28"/>
        </w:rPr>
        <w:t xml:space="preserve">по критериям, представленным в таблице. </w:t>
      </w:r>
      <w:r w:rsidR="00942D2C">
        <w:rPr>
          <w:rFonts w:ascii="Times New Roman" w:hAnsi="Times New Roman" w:cs="Times New Roman"/>
          <w:b/>
          <w:sz w:val="28"/>
          <w:szCs w:val="28"/>
        </w:rPr>
        <w:t>В сводную ведомость заносятся баллы:</w:t>
      </w:r>
    </w:p>
    <w:tbl>
      <w:tblPr>
        <w:tblStyle w:val="a3"/>
        <w:tblW w:w="15417" w:type="dxa"/>
        <w:tblLook w:val="04A0"/>
      </w:tblPr>
      <w:tblGrid>
        <w:gridCol w:w="10031"/>
        <w:gridCol w:w="5386"/>
      </w:tblGrid>
      <w:tr w:rsidR="00942D2C" w:rsidTr="00942D2C">
        <w:tc>
          <w:tcPr>
            <w:tcW w:w="10031" w:type="dxa"/>
          </w:tcPr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отметка «отлично» по соответствующим </w:t>
            </w:r>
            <w:r w:rsidRPr="00942D2C">
              <w:rPr>
                <w:b/>
                <w:sz w:val="22"/>
              </w:rPr>
              <w:t>профильным</w:t>
            </w:r>
            <w:r w:rsidRPr="00942D2C">
              <w:rPr>
                <w:sz w:val="22"/>
              </w:rPr>
              <w:t xml:space="preserve"> учебным предметам (годовым и итоговым)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отметка «хорошо» по соответствующим </w:t>
            </w:r>
            <w:r w:rsidRPr="00942D2C">
              <w:rPr>
                <w:b/>
                <w:sz w:val="22"/>
              </w:rPr>
              <w:t xml:space="preserve">профильным </w:t>
            </w:r>
            <w:r w:rsidRPr="00942D2C">
              <w:rPr>
                <w:sz w:val="22"/>
              </w:rPr>
              <w:t xml:space="preserve">учебным предметам (годовым и итоговым)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отметка «отлично» по обязательному экзамену   -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отметка «хорошо» по обязательному экзамену   -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итоговая отметка «отлично» по русскому языку или математике  -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итоговая отметка «хорошо» по русскому языку или математике  -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аттестат об основном общем образовании с отличием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аттестат  со средним баллом от 4,51 до 4,99 – </w:t>
            </w: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аттестат со средним баллом от 3,80 до 4,50   - </w:t>
            </w:r>
          </w:p>
          <w:p w:rsid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 xml:space="preserve">достижения муниципального уровня </w:t>
            </w:r>
          </w:p>
          <w:p w:rsidR="00942D2C" w:rsidRDefault="00942D2C" w:rsidP="00942D2C">
            <w:pPr>
              <w:pStyle w:val="a5"/>
              <w:rPr>
                <w:sz w:val="22"/>
              </w:rPr>
            </w:pP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</w:p>
          <w:p w:rsidR="00942D2C" w:rsidRPr="00942D2C" w:rsidRDefault="00942D2C" w:rsidP="00942D2C">
            <w:pPr>
              <w:pStyle w:val="a5"/>
              <w:rPr>
                <w:sz w:val="22"/>
              </w:rPr>
            </w:pPr>
            <w:r w:rsidRPr="00942D2C">
              <w:rPr>
                <w:sz w:val="22"/>
              </w:rPr>
              <w:t>достижения зонального и регионального уровня - достижения); и т.д.</w:t>
            </w:r>
          </w:p>
          <w:p w:rsidR="00942D2C" w:rsidRPr="00942D2C" w:rsidRDefault="00942D2C" w:rsidP="00DA501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386" w:type="dxa"/>
          </w:tcPr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5 баллов;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>3 балла</w:t>
            </w:r>
            <w:proofErr w:type="gramStart"/>
            <w:r w:rsidRPr="00942D2C">
              <w:rPr>
                <w:sz w:val="22"/>
              </w:rPr>
              <w:t xml:space="preserve"> ;</w:t>
            </w:r>
            <w:proofErr w:type="gramEnd"/>
            <w:r w:rsidRPr="00942D2C">
              <w:rPr>
                <w:sz w:val="22"/>
              </w:rPr>
              <w:t xml:space="preserve">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5 баллов за один предмет;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>4 балла за один предмет;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5 баллов за один предмет;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4 балла за один предмет;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5 баллов;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3 балла;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1 балл; </w:t>
            </w:r>
          </w:p>
          <w:p w:rsidR="00942D2C" w:rsidRPr="00942D2C" w:rsidRDefault="00942D2C" w:rsidP="00942D2C">
            <w:pPr>
              <w:rPr>
                <w:sz w:val="22"/>
              </w:rPr>
            </w:pPr>
            <w:r w:rsidRPr="00942D2C">
              <w:rPr>
                <w:sz w:val="22"/>
              </w:rPr>
              <w:t xml:space="preserve">3 балла за 1 достижение соответствующей направленности (призовое место) (не более 9 баллов за все достижения); </w:t>
            </w:r>
          </w:p>
          <w:p w:rsidR="00942D2C" w:rsidRPr="00942D2C" w:rsidRDefault="00942D2C" w:rsidP="00942D2C">
            <w:pPr>
              <w:rPr>
                <w:sz w:val="22"/>
                <w:szCs w:val="28"/>
              </w:rPr>
            </w:pPr>
            <w:proofErr w:type="gramStart"/>
            <w:r w:rsidRPr="00942D2C">
              <w:rPr>
                <w:sz w:val="22"/>
              </w:rPr>
              <w:t xml:space="preserve">5 баллов за 1 достижение соответствующей направленности (призовое место) (не более 15 баллов </w:t>
            </w:r>
            <w:proofErr w:type="gramEnd"/>
          </w:p>
        </w:tc>
      </w:tr>
      <w:bookmarkEnd w:id="1"/>
    </w:tbl>
    <w:p w:rsidR="00DA501B" w:rsidRDefault="00DA501B" w:rsidP="00027CCD">
      <w:pPr>
        <w:pStyle w:val="a5"/>
        <w:ind w:left="-567"/>
        <w:rPr>
          <w:rFonts w:ascii="Times New Roman" w:hAnsi="Times New Roman" w:cs="Times New Roman"/>
          <w:b/>
        </w:rPr>
      </w:pPr>
    </w:p>
    <w:p w:rsidR="00027CCD" w:rsidRPr="00FE7ACA" w:rsidRDefault="00027CCD" w:rsidP="00027CCD">
      <w:pPr>
        <w:pStyle w:val="a5"/>
        <w:ind w:left="-567"/>
        <w:rPr>
          <w:rFonts w:ascii="Times New Roman" w:hAnsi="Times New Roman" w:cs="Times New Roman"/>
          <w:b/>
        </w:rPr>
      </w:pPr>
      <w:r w:rsidRPr="00FE7ACA">
        <w:rPr>
          <w:rFonts w:ascii="Times New Roman" w:hAnsi="Times New Roman" w:cs="Times New Roman"/>
          <w:b/>
        </w:rPr>
        <w:t>Второй этап</w:t>
      </w:r>
    </w:p>
    <w:p w:rsidR="00027CCD" w:rsidRPr="00FE7ACA" w:rsidRDefault="00027CCD" w:rsidP="00027CCD">
      <w:pPr>
        <w:pStyle w:val="a5"/>
        <w:ind w:left="-567"/>
        <w:rPr>
          <w:rFonts w:ascii="Times New Roman" w:hAnsi="Times New Roman" w:cs="Times New Roman"/>
        </w:rPr>
      </w:pPr>
      <w:proofErr w:type="gramStart"/>
      <w:r w:rsidRPr="00FE7ACA">
        <w:rPr>
          <w:rFonts w:ascii="Times New Roman" w:hAnsi="Times New Roman" w:cs="Times New Roman"/>
        </w:rPr>
        <w:t>Баллы, полученные в результате экспертизы документов  суммируются</w:t>
      </w:r>
      <w:proofErr w:type="gramEnd"/>
      <w:r w:rsidRPr="00FE7ACA">
        <w:rPr>
          <w:rFonts w:ascii="Times New Roman" w:hAnsi="Times New Roman" w:cs="Times New Roman"/>
        </w:rPr>
        <w:t xml:space="preserve">. Комиссия выстраивает рейтинг достижений обучающихся по мере убывания набранных ими баллов. </w:t>
      </w:r>
      <w:proofErr w:type="gramStart"/>
      <w:r w:rsidRPr="00FE7ACA">
        <w:rPr>
          <w:rFonts w:ascii="Times New Roman" w:hAnsi="Times New Roman" w:cs="Times New Roman"/>
        </w:rPr>
        <w:t>Согласно приказа</w:t>
      </w:r>
      <w:proofErr w:type="gramEnd"/>
      <w:r w:rsidRPr="00FE7ACA">
        <w:rPr>
          <w:rFonts w:ascii="Times New Roman" w:hAnsi="Times New Roman" w:cs="Times New Roman"/>
        </w:rPr>
        <w:t>, который издается до 30 июня текущего года, определяется минимальное количество баллов, которые необходимо набрать по всем критериям при приеме в профильные классы (группы).</w:t>
      </w:r>
    </w:p>
    <w:p w:rsidR="00027CCD" w:rsidRPr="00FE7ACA" w:rsidRDefault="00027CCD" w:rsidP="00027CCD">
      <w:pPr>
        <w:pStyle w:val="a5"/>
        <w:ind w:left="-567"/>
        <w:rPr>
          <w:rFonts w:ascii="Times New Roman" w:hAnsi="Times New Roman" w:cs="Times New Roman"/>
        </w:rPr>
      </w:pPr>
      <w:r w:rsidRPr="00FE7ACA">
        <w:rPr>
          <w:rFonts w:ascii="Times New Roman" w:hAnsi="Times New Roman" w:cs="Times New Roman"/>
        </w:rPr>
        <w:t xml:space="preserve"> </w:t>
      </w:r>
    </w:p>
    <w:sectPr w:rsidR="00027CCD" w:rsidRPr="00FE7ACA" w:rsidSect="00942D2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8C0"/>
    <w:multiLevelType w:val="hybridMultilevel"/>
    <w:tmpl w:val="8E5CEADC"/>
    <w:lvl w:ilvl="0" w:tplc="0419000F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30FCF"/>
    <w:multiLevelType w:val="hybridMultilevel"/>
    <w:tmpl w:val="8E5CEADC"/>
    <w:lvl w:ilvl="0" w:tplc="0419000F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27CCD"/>
    <w:rsid w:val="00020D15"/>
    <w:rsid w:val="00027CCD"/>
    <w:rsid w:val="0017105E"/>
    <w:rsid w:val="004F5C67"/>
    <w:rsid w:val="00811AE9"/>
    <w:rsid w:val="00942D2C"/>
    <w:rsid w:val="00DA501B"/>
    <w:rsid w:val="00E0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027CCD"/>
    <w:rPr>
      <w:b w:val="0"/>
      <w:bCs w:val="0"/>
      <w:color w:val="106BBE"/>
    </w:rPr>
  </w:style>
  <w:style w:type="paragraph" w:styleId="a5">
    <w:name w:val="No Spacing"/>
    <w:uiPriority w:val="1"/>
    <w:qFormat/>
    <w:rsid w:val="00027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7AEC-4E3F-4135-9288-19C314CA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4</cp:revision>
  <dcterms:created xsi:type="dcterms:W3CDTF">2015-01-19T08:07:00Z</dcterms:created>
  <dcterms:modified xsi:type="dcterms:W3CDTF">2018-02-08T12:23:00Z</dcterms:modified>
</cp:coreProperties>
</file>